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EB" w:rsidRDefault="006C2A52" w:rsidP="003A07A2">
      <w:pPr>
        <w:spacing w:after="0" w:line="240" w:lineRule="auto"/>
        <w:jc w:val="center"/>
        <w:rPr>
          <w:rFonts w:eastAsia="Times New Roman" w:cs="Helvetica"/>
          <w:b/>
          <w:color w:val="548DD4" w:themeColor="text2" w:themeTint="99"/>
          <w:sz w:val="32"/>
          <w:szCs w:val="32"/>
          <w:lang w:val="en"/>
        </w:rPr>
      </w:pPr>
      <w:r>
        <w:rPr>
          <w:rFonts w:eastAsia="Times New Roman" w:cs="Helvetica"/>
          <w:b/>
          <w:color w:val="548DD4" w:themeColor="text2" w:themeTint="99"/>
          <w:sz w:val="32"/>
          <w:szCs w:val="32"/>
          <w:lang w:val="en"/>
        </w:rPr>
        <w:t>Investigator-</w:t>
      </w:r>
      <w:r w:rsidR="00043189">
        <w:rPr>
          <w:rFonts w:eastAsia="Times New Roman" w:cs="Helvetica"/>
          <w:b/>
          <w:color w:val="548DD4" w:themeColor="text2" w:themeTint="99"/>
          <w:sz w:val="32"/>
          <w:szCs w:val="32"/>
          <w:lang w:val="en"/>
        </w:rPr>
        <w:t xml:space="preserve">Sponsor </w:t>
      </w:r>
      <w:r w:rsidR="00EB59EB" w:rsidRPr="008B2B2D">
        <w:rPr>
          <w:rFonts w:eastAsia="Times New Roman" w:cs="Helvetica"/>
          <w:b/>
          <w:color w:val="548DD4" w:themeColor="text2" w:themeTint="99"/>
          <w:sz w:val="32"/>
          <w:szCs w:val="32"/>
          <w:lang w:val="en"/>
        </w:rPr>
        <w:t xml:space="preserve">Responsibilities </w:t>
      </w:r>
    </w:p>
    <w:p w:rsidR="00772476" w:rsidRDefault="00772476" w:rsidP="003A07A2">
      <w:pPr>
        <w:spacing w:after="0" w:line="240" w:lineRule="auto"/>
        <w:jc w:val="center"/>
        <w:rPr>
          <w:rFonts w:eastAsia="Times New Roman" w:cs="Helvetica"/>
          <w:i/>
          <w:color w:val="009999"/>
          <w:sz w:val="28"/>
          <w:szCs w:val="32"/>
          <w:lang w:val="en"/>
        </w:rPr>
      </w:pPr>
      <w:r w:rsidRPr="00297A54">
        <w:rPr>
          <w:rFonts w:eastAsia="Times New Roman" w:cs="Helvetica"/>
          <w:i/>
          <w:color w:val="009999"/>
          <w:sz w:val="28"/>
          <w:szCs w:val="32"/>
          <w:lang w:val="en"/>
        </w:rPr>
        <w:t>Call the IRB Office ext.</w:t>
      </w:r>
      <w:r w:rsidRPr="00297A54">
        <w:rPr>
          <w:rFonts w:eastAsia="Times New Roman" w:cs="Helvetica"/>
          <w:b/>
          <w:i/>
          <w:color w:val="009999"/>
          <w:sz w:val="28"/>
          <w:szCs w:val="32"/>
          <w:lang w:val="en"/>
        </w:rPr>
        <w:t xml:space="preserve"> 6-7512 </w:t>
      </w:r>
      <w:r w:rsidRPr="00297A54">
        <w:rPr>
          <w:rFonts w:eastAsia="Times New Roman" w:cs="Helvetica"/>
          <w:i/>
          <w:color w:val="009999"/>
          <w:sz w:val="28"/>
          <w:szCs w:val="32"/>
          <w:lang w:val="en"/>
        </w:rPr>
        <w:t>with any questions</w:t>
      </w:r>
    </w:p>
    <w:p w:rsidR="005A0030" w:rsidRPr="003D407B" w:rsidRDefault="005A0030" w:rsidP="003D407B">
      <w:pPr>
        <w:pStyle w:val="NoSpacing"/>
        <w:jc w:val="center"/>
        <w:rPr>
          <w:rFonts w:eastAsia="Times New Roman" w:cs="Helvetica"/>
          <w:i/>
          <w:color w:val="0F243E" w:themeColor="text2" w:themeShade="80"/>
          <w:sz w:val="24"/>
          <w:szCs w:val="24"/>
          <w:lang w:val="en"/>
        </w:rPr>
      </w:pPr>
      <w:r w:rsidRPr="003D407B">
        <w:rPr>
          <w:rFonts w:eastAsia="Times New Roman" w:cs="Helvetica"/>
          <w:i/>
          <w:color w:val="0F243E" w:themeColor="text2" w:themeShade="80"/>
          <w:sz w:val="24"/>
          <w:szCs w:val="24"/>
          <w:lang w:val="en"/>
        </w:rPr>
        <w:t xml:space="preserve">Refer to the </w:t>
      </w:r>
      <w:hyperlink r:id="rId8" w:history="1">
        <w:r w:rsidRPr="003D407B">
          <w:rPr>
            <w:i/>
            <w:color w:val="0070C0"/>
            <w:sz w:val="24"/>
            <w:szCs w:val="24"/>
            <w:u w:val="single"/>
          </w:rPr>
          <w:t>FDA Sponsor and Investigator Responsibility Checklist</w:t>
        </w:r>
      </w:hyperlink>
      <w:r w:rsidRPr="003D407B">
        <w:rPr>
          <w:rFonts w:eastAsia="Times New Roman" w:cs="Helvetica"/>
          <w:i/>
          <w:color w:val="0070C0"/>
          <w:sz w:val="24"/>
          <w:szCs w:val="24"/>
          <w:lang w:val="en"/>
        </w:rPr>
        <w:t xml:space="preserve"> </w:t>
      </w:r>
      <w:r w:rsidRPr="003D407B">
        <w:rPr>
          <w:rFonts w:eastAsia="Times New Roman" w:cs="Helvetica"/>
          <w:i/>
          <w:color w:val="0F243E" w:themeColor="text2" w:themeShade="80"/>
          <w:sz w:val="24"/>
          <w:szCs w:val="24"/>
          <w:lang w:val="en"/>
        </w:rPr>
        <w:t>to clarify which documents can provide evidence that the Investigator-Sponsor has fulfilled his/her responsibilities.</w:t>
      </w:r>
    </w:p>
    <w:p w:rsidR="002B6937" w:rsidRDefault="002B6937" w:rsidP="003A07A2">
      <w:pPr>
        <w:spacing w:after="0" w:line="240" w:lineRule="auto"/>
        <w:rPr>
          <w:rFonts w:eastAsia="Times New Roman" w:cs="Helvetica"/>
          <w:b/>
          <w:color w:val="E36C0A" w:themeColor="accent6" w:themeShade="BF"/>
          <w:sz w:val="23"/>
          <w:szCs w:val="23"/>
          <w:lang w:val="en"/>
        </w:rPr>
      </w:pPr>
    </w:p>
    <w:p w:rsidR="00EE67E8" w:rsidRDefault="00EE67E8" w:rsidP="00EE67E8">
      <w:pPr>
        <w:spacing w:after="0" w:line="240" w:lineRule="auto"/>
        <w:rPr>
          <w:rFonts w:eastAsia="Times New Roman" w:cs="Helvetica"/>
          <w:b/>
          <w:color w:val="E36C0A" w:themeColor="accent6" w:themeShade="BF"/>
          <w:lang w:val="en"/>
        </w:rPr>
      </w:pPr>
      <w:r>
        <w:rPr>
          <w:rFonts w:eastAsia="Times New Roman" w:cs="Helvetica"/>
          <w:b/>
          <w:color w:val="E36C0A" w:themeColor="accent6" w:themeShade="BF"/>
          <w:lang w:val="en"/>
        </w:rPr>
        <w:t>Definitions:</w:t>
      </w:r>
      <w:bookmarkStart w:id="0" w:name="_GoBack"/>
      <w:bookmarkEnd w:id="0"/>
    </w:p>
    <w:p w:rsidR="00EE67E8" w:rsidRPr="00BB2CFE" w:rsidRDefault="00EE67E8" w:rsidP="00EE67E8">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Investigator </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An individual who actually conducts a clinical investigation (i.e., under whose immediate direction the drug is administered or dispensed to a subject).</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In the event an investigation is conducted by a team of individuals, the investigator is the responsible leader of the team.</w:t>
      </w:r>
    </w:p>
    <w:p w:rsidR="00EE67E8" w:rsidRPr="00BB2CFE" w:rsidRDefault="00EE67E8" w:rsidP="00EE67E8">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Sponsor</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A party who takes responsibility for and initiates a clinical investigation (21CFR312.3).</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The sponsor may be an individual or pharmaceutical company, governmental agency, academic institution, private organization, or other organization.</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The sponsor does not actually conduct the investigation.</w:t>
      </w:r>
    </w:p>
    <w:p w:rsidR="00EE67E8" w:rsidRPr="00BB2CFE" w:rsidRDefault="006C2A52" w:rsidP="00EE67E8">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Investigator-Sponsor</w:t>
      </w:r>
    </w:p>
    <w:p w:rsidR="00EE67E8" w:rsidRPr="00BB2CFE" w:rsidRDefault="00EE67E8" w:rsidP="00EE67E8">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An individual who both initiates and conducts an investigation, and under whose immediate direction the investigational drug is administered or dispensed (21CFR312.3). The term does not include any person other than an individual.</w:t>
      </w:r>
    </w:p>
    <w:p w:rsidR="00EE67E8" w:rsidRPr="00BB2CFE" w:rsidRDefault="00EE67E8" w:rsidP="00EE67E8">
      <w:pPr>
        <w:pStyle w:val="ListParagraph"/>
        <w:numPr>
          <w:ilvl w:val="1"/>
          <w:numId w:val="4"/>
        </w:numPr>
        <w:rPr>
          <w:rFonts w:cs="Wingdings"/>
          <w:color w:val="0F243E" w:themeColor="text2" w:themeShade="80"/>
        </w:rPr>
      </w:pPr>
      <w:r w:rsidRPr="00BB2CFE">
        <w:rPr>
          <w:rFonts w:cs="Wingdings"/>
          <w:color w:val="0F243E" w:themeColor="text2" w:themeShade="80"/>
        </w:rPr>
        <w:t>In addition to the regular responsibilities of an investigator, the individual also has the responsibilities that are normally assigned to the sponsor and is responsible for maintaining an effective IND/IDE with respect to the investigations.</w:t>
      </w:r>
    </w:p>
    <w:p w:rsidR="005D3B3A" w:rsidRPr="00043189" w:rsidRDefault="005D3B3A" w:rsidP="003A07A2">
      <w:pPr>
        <w:spacing w:after="0" w:line="240" w:lineRule="auto"/>
        <w:rPr>
          <w:rFonts w:eastAsia="Times New Roman" w:cs="Helvetica"/>
          <w:b/>
          <w:color w:val="E36C0A" w:themeColor="accent6" w:themeShade="BF"/>
          <w:lang w:val="en"/>
        </w:rPr>
      </w:pPr>
      <w:r w:rsidRPr="00043189">
        <w:rPr>
          <w:rFonts w:eastAsia="Times New Roman" w:cs="Helvetica"/>
          <w:b/>
          <w:color w:val="E36C0A" w:themeColor="accent6" w:themeShade="BF"/>
          <w:lang w:val="en"/>
        </w:rPr>
        <w:t>General</w:t>
      </w:r>
      <w:r w:rsidR="006C2A52">
        <w:rPr>
          <w:rFonts w:eastAsia="Times New Roman" w:cs="Helvetica"/>
          <w:b/>
          <w:color w:val="E36C0A" w:themeColor="accent6" w:themeShade="BF"/>
          <w:lang w:val="en"/>
        </w:rPr>
        <w:t xml:space="preserve"> Responsibilities of an Investigator-Sponsor</w:t>
      </w:r>
    </w:p>
    <w:p w:rsidR="00797933" w:rsidRDefault="00797933" w:rsidP="00797933">
      <w:pPr>
        <w:numPr>
          <w:ilvl w:val="0"/>
          <w:numId w:val="4"/>
        </w:numPr>
        <w:shd w:val="clear" w:color="auto" w:fill="FFFFFF"/>
        <w:spacing w:after="0" w:line="240" w:lineRule="auto"/>
        <w:ind w:left="547"/>
        <w:rPr>
          <w:rFonts w:eastAsia="Times New Roman" w:cs="Arial"/>
          <w:color w:val="0F243E" w:themeColor="text2" w:themeShade="80"/>
        </w:rPr>
      </w:pPr>
      <w:r w:rsidRPr="00BB2CFE">
        <w:rPr>
          <w:rFonts w:eastAsia="Times New Roman" w:cs="Arial"/>
          <w:color w:val="0F243E" w:themeColor="text2" w:themeShade="80"/>
        </w:rPr>
        <w:t>Ensure that the investigation is conducted according to the investigational plan, applicable regulations</w:t>
      </w:r>
      <w:r w:rsidR="00FB0A40" w:rsidRPr="00BB2CFE">
        <w:rPr>
          <w:rFonts w:eastAsia="Times New Roman" w:cs="Arial"/>
          <w:color w:val="0F243E" w:themeColor="text2" w:themeShade="80"/>
        </w:rPr>
        <w:t xml:space="preserve">, applicable local laws, and institutional policies.  </w:t>
      </w:r>
    </w:p>
    <w:p w:rsidR="00ED0862" w:rsidRDefault="00ED0862" w:rsidP="00797933">
      <w:pPr>
        <w:numPr>
          <w:ilvl w:val="0"/>
          <w:numId w:val="4"/>
        </w:numPr>
        <w:shd w:val="clear" w:color="auto" w:fill="FFFFFF"/>
        <w:spacing w:after="0" w:line="240" w:lineRule="auto"/>
        <w:ind w:left="547"/>
        <w:rPr>
          <w:rFonts w:eastAsia="Times New Roman" w:cs="Arial"/>
          <w:color w:val="0F243E" w:themeColor="text2" w:themeShade="80"/>
        </w:rPr>
      </w:pPr>
      <w:r>
        <w:rPr>
          <w:rFonts w:eastAsia="Times New Roman" w:cs="Arial"/>
          <w:color w:val="0F243E" w:themeColor="text2" w:themeShade="80"/>
        </w:rPr>
        <w:t>Ensure that the study is conducted according to sound research design and generally acceptable scientific methods</w:t>
      </w:r>
    </w:p>
    <w:p w:rsidR="00ED0862" w:rsidRPr="00BB2CFE" w:rsidRDefault="00ED0862" w:rsidP="00797933">
      <w:pPr>
        <w:numPr>
          <w:ilvl w:val="0"/>
          <w:numId w:val="4"/>
        </w:numPr>
        <w:shd w:val="clear" w:color="auto" w:fill="FFFFFF"/>
        <w:spacing w:after="0" w:line="240" w:lineRule="auto"/>
        <w:ind w:left="547"/>
        <w:rPr>
          <w:rFonts w:eastAsia="Times New Roman" w:cs="Arial"/>
          <w:color w:val="0F243E" w:themeColor="text2" w:themeShade="80"/>
        </w:rPr>
      </w:pPr>
      <w:r>
        <w:rPr>
          <w:rFonts w:eastAsia="Times New Roman" w:cs="Arial"/>
          <w:color w:val="0F243E" w:themeColor="text2" w:themeShade="80"/>
        </w:rPr>
        <w:t>Ensure the study is conducted according to the terms of the grant, contract and/or signed agreement(s)</w:t>
      </w:r>
    </w:p>
    <w:p w:rsidR="00797933" w:rsidRPr="00BB2CFE" w:rsidRDefault="00797933" w:rsidP="00797933">
      <w:pPr>
        <w:numPr>
          <w:ilvl w:val="0"/>
          <w:numId w:val="4"/>
        </w:numPr>
        <w:shd w:val="clear" w:color="auto" w:fill="FFFFFF"/>
        <w:spacing w:before="100" w:beforeAutospacing="1" w:after="100" w:afterAutospacing="1" w:line="240" w:lineRule="auto"/>
        <w:ind w:left="540"/>
        <w:rPr>
          <w:rFonts w:eastAsia="Times New Roman" w:cs="Arial"/>
          <w:color w:val="0F243E" w:themeColor="text2" w:themeShade="80"/>
        </w:rPr>
      </w:pPr>
      <w:r w:rsidRPr="00BB2CFE">
        <w:rPr>
          <w:rFonts w:eastAsia="Times New Roman" w:cs="Arial"/>
          <w:color w:val="0F243E" w:themeColor="text2" w:themeShade="80"/>
        </w:rPr>
        <w:t>Protect the rights, safety, and welfare of subjects under the investigator’s care</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Apply to and obtain approval from the Food and Drug Administration (FDA) and an institutional review board (IRB) </w:t>
      </w:r>
      <w:r w:rsidR="00797933" w:rsidRPr="00BB2CFE">
        <w:rPr>
          <w:rFonts w:asciiTheme="minorHAnsi" w:hAnsiTheme="minorHAnsi" w:cs="Times New Roman"/>
          <w:color w:val="0F243E" w:themeColor="text2" w:themeShade="80"/>
          <w:sz w:val="22"/>
          <w:szCs w:val="22"/>
        </w:rPr>
        <w:t>before</w:t>
      </w:r>
      <w:r w:rsidRPr="00BB2CFE">
        <w:rPr>
          <w:rFonts w:asciiTheme="minorHAnsi" w:hAnsiTheme="minorHAnsi" w:cs="Times New Roman"/>
          <w:color w:val="0F243E" w:themeColor="text2" w:themeShade="80"/>
          <w:sz w:val="22"/>
          <w:szCs w:val="22"/>
        </w:rPr>
        <w:t xml:space="preserve"> administering the investigational product. </w:t>
      </w:r>
    </w:p>
    <w:p w:rsidR="002E5A59" w:rsidRPr="00BB2CFE" w:rsidRDefault="002E5A59" w:rsidP="002E5A59">
      <w:pPr>
        <w:pStyle w:val="Default"/>
        <w:numPr>
          <w:ilvl w:val="1"/>
          <w:numId w:val="4"/>
        </w:numPr>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Complete and submit a </w:t>
      </w:r>
      <w:hyperlink r:id="rId9" w:history="1">
        <w:r w:rsidRPr="00BB2CFE">
          <w:rPr>
            <w:rStyle w:val="Hyperlink"/>
            <w:rFonts w:asciiTheme="minorHAnsi" w:hAnsiTheme="minorHAnsi" w:cs="Times New Roman"/>
            <w:color w:val="548DD4" w:themeColor="text2" w:themeTint="99"/>
            <w:sz w:val="22"/>
            <w:szCs w:val="22"/>
          </w:rPr>
          <w:t>Form 1572</w:t>
        </w:r>
      </w:hyperlink>
      <w:r w:rsidRPr="00BB2CFE">
        <w:rPr>
          <w:rFonts w:asciiTheme="minorHAnsi" w:hAnsiTheme="minorHAnsi" w:cs="Times New Roman"/>
          <w:color w:val="0F243E" w:themeColor="text2" w:themeShade="80"/>
          <w:sz w:val="22"/>
          <w:szCs w:val="22"/>
        </w:rPr>
        <w:t xml:space="preserve"> to the FDA</w:t>
      </w:r>
    </w:p>
    <w:p w:rsidR="00097DDE" w:rsidRPr="00BB2CFE" w:rsidRDefault="00097DDE"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Secure funding for the clinical trial and apply for the appropriate insurance.</w:t>
      </w:r>
    </w:p>
    <w:p w:rsidR="00EE67E8" w:rsidRPr="00BB2CFE" w:rsidRDefault="00EE67E8"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Select qualified investigators and provide them with the information they need to conduct an investigation properly.</w:t>
      </w:r>
    </w:p>
    <w:p w:rsidR="00C06990" w:rsidRPr="00BB2CFE" w:rsidRDefault="00C06990"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Ensure all participating investigators provide sufficient and accurate financial information to allow the Investigator-Sponsor to submit complete and accurate certification or disclosure statements.</w:t>
      </w:r>
    </w:p>
    <w:p w:rsidR="00EE67E8" w:rsidRPr="00BB2CFE" w:rsidRDefault="00EE67E8"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Ensure proper monitoring of the investigation.</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Seek IRB approval for</w:t>
      </w:r>
      <w:r w:rsidR="00FB0A40" w:rsidRPr="00BB2CFE">
        <w:rPr>
          <w:rFonts w:asciiTheme="minorHAnsi" w:hAnsiTheme="minorHAnsi" w:cs="Times New Roman"/>
          <w:color w:val="0F243E" w:themeColor="text2" w:themeShade="80"/>
          <w:sz w:val="22"/>
          <w:szCs w:val="22"/>
        </w:rPr>
        <w:t xml:space="preserve"> any amendments (study modifications) and for</w:t>
      </w:r>
      <w:r w:rsidRPr="00BB2CFE">
        <w:rPr>
          <w:rFonts w:asciiTheme="minorHAnsi" w:hAnsiTheme="minorHAnsi" w:cs="Times New Roman"/>
          <w:color w:val="0F243E" w:themeColor="text2" w:themeShade="80"/>
          <w:sz w:val="22"/>
          <w:szCs w:val="22"/>
        </w:rPr>
        <w:t xml:space="preserve"> continuing review if the treatment use </w:t>
      </w:r>
      <w:r w:rsidR="00797933" w:rsidRPr="00BB2CFE">
        <w:rPr>
          <w:rFonts w:asciiTheme="minorHAnsi" w:hAnsiTheme="minorHAnsi" w:cs="Times New Roman"/>
          <w:color w:val="0F243E" w:themeColor="text2" w:themeShade="80"/>
          <w:sz w:val="22"/>
          <w:szCs w:val="22"/>
        </w:rPr>
        <w:t xml:space="preserve">or study </w:t>
      </w:r>
      <w:r w:rsidRPr="00BB2CFE">
        <w:rPr>
          <w:rFonts w:asciiTheme="minorHAnsi" w:hAnsiTheme="minorHAnsi" w:cs="Times New Roman"/>
          <w:color w:val="0F243E" w:themeColor="text2" w:themeShade="80"/>
          <w:sz w:val="22"/>
          <w:szCs w:val="22"/>
        </w:rPr>
        <w:t xml:space="preserve">extends longer than one year.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Obtain and document appropriate informed consent from the patient or legally authorized representative </w:t>
      </w:r>
      <w:r w:rsidR="00797933" w:rsidRPr="00BB2CFE">
        <w:rPr>
          <w:rFonts w:asciiTheme="minorHAnsi" w:hAnsiTheme="minorHAnsi" w:cs="Times New Roman"/>
          <w:color w:val="0F243E" w:themeColor="text2" w:themeShade="80"/>
          <w:sz w:val="22"/>
          <w:szCs w:val="22"/>
        </w:rPr>
        <w:t>before</w:t>
      </w:r>
      <w:r w:rsidRPr="00BB2CFE">
        <w:rPr>
          <w:rFonts w:asciiTheme="minorHAnsi" w:hAnsiTheme="minorHAnsi" w:cs="Times New Roman"/>
          <w:color w:val="0F243E" w:themeColor="text2" w:themeShade="80"/>
          <w:sz w:val="22"/>
          <w:szCs w:val="22"/>
        </w:rPr>
        <w:t xml:space="preserve"> treatment.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Maintain accurate case history records and observations related to provision of product, including adverse events.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 xml:space="preserve">Report adverse events as required by FDA.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Maintain accurate documentation of the disposition of investigational product, including dates, quantity</w:t>
      </w:r>
      <w:r w:rsidR="00797933" w:rsidRPr="00BB2CFE">
        <w:rPr>
          <w:rFonts w:asciiTheme="minorHAnsi" w:hAnsiTheme="minorHAnsi" w:cs="Times New Roman"/>
          <w:color w:val="0F243E" w:themeColor="text2" w:themeShade="80"/>
          <w:sz w:val="22"/>
          <w:szCs w:val="22"/>
        </w:rPr>
        <w:t>,</w:t>
      </w:r>
      <w:r w:rsidRPr="00BB2CFE">
        <w:rPr>
          <w:rFonts w:asciiTheme="minorHAnsi" w:hAnsiTheme="minorHAnsi" w:cs="Times New Roman"/>
          <w:color w:val="0F243E" w:themeColor="text2" w:themeShade="80"/>
          <w:sz w:val="22"/>
          <w:szCs w:val="22"/>
        </w:rPr>
        <w:t xml:space="preserve"> and use.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s="Times New Roman"/>
          <w:color w:val="0F243E" w:themeColor="text2" w:themeShade="80"/>
          <w:sz w:val="22"/>
          <w:szCs w:val="22"/>
        </w:rPr>
        <w:t xml:space="preserve">Adhere to reporting obligations of IRB, FDA and sponsor.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 xml:space="preserve">Prepare and send summary report of treatment use to sponsor and FDA. </w:t>
      </w:r>
    </w:p>
    <w:p w:rsidR="00043189" w:rsidRPr="00BB2CFE" w:rsidRDefault="00043189" w:rsidP="00043189">
      <w:pPr>
        <w:pStyle w:val="Default"/>
        <w:numPr>
          <w:ilvl w:val="0"/>
          <w:numId w:val="4"/>
        </w:numPr>
        <w:ind w:left="547"/>
        <w:rPr>
          <w:rFonts w:asciiTheme="minorHAnsi" w:hAnsiTheme="minorHAnsi"/>
          <w:color w:val="0F243E" w:themeColor="text2" w:themeShade="80"/>
          <w:sz w:val="22"/>
          <w:szCs w:val="22"/>
        </w:rPr>
      </w:pPr>
      <w:r w:rsidRPr="00BB2CFE">
        <w:rPr>
          <w:rFonts w:asciiTheme="minorHAnsi" w:hAnsiTheme="minorHAnsi"/>
          <w:color w:val="0F243E" w:themeColor="text2" w:themeShade="80"/>
          <w:sz w:val="22"/>
          <w:szCs w:val="22"/>
        </w:rPr>
        <w:t xml:space="preserve">Maintain confidentiality of the information both about the patient and the condition. </w:t>
      </w:r>
    </w:p>
    <w:p w:rsidR="004C5CB8" w:rsidRDefault="004C5CB8" w:rsidP="00BB2CFE">
      <w:pPr>
        <w:pStyle w:val="Default"/>
        <w:ind w:left="547"/>
        <w:rPr>
          <w:rFonts w:asciiTheme="minorHAnsi" w:hAnsiTheme="minorHAnsi"/>
          <w:color w:val="244061" w:themeColor="accent1" w:themeShade="80"/>
          <w:sz w:val="22"/>
          <w:szCs w:val="22"/>
        </w:rPr>
      </w:pPr>
    </w:p>
    <w:sectPr w:rsidR="004C5CB8" w:rsidSect="00F01BA3">
      <w:footerReference w:type="default" r:id="rId10"/>
      <w:pgSz w:w="12240" w:h="15840"/>
      <w:pgMar w:top="720" w:right="720" w:bottom="720" w:left="720" w:header="720" w:footer="0" w:gutter="0"/>
      <w:pgBorders w:offsetFrom="page">
        <w:top w:val="single" w:sz="36" w:space="24" w:color="008080" w:shadow="1"/>
        <w:left w:val="single" w:sz="36" w:space="24" w:color="008080" w:shadow="1"/>
        <w:bottom w:val="single" w:sz="36" w:space="24" w:color="008080" w:shadow="1"/>
        <w:right w:val="single" w:sz="36" w:space="24" w:color="00808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C5" w:rsidRDefault="005C45C5" w:rsidP="001A77FA">
      <w:pPr>
        <w:spacing w:after="0" w:line="240" w:lineRule="auto"/>
      </w:pPr>
      <w:r>
        <w:separator/>
      </w:r>
    </w:p>
  </w:endnote>
  <w:endnote w:type="continuationSeparator" w:id="0">
    <w:p w:rsidR="005C45C5" w:rsidRDefault="005C45C5" w:rsidP="001A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A3" w:rsidRPr="00F01BA3" w:rsidRDefault="00F01BA3">
    <w:pPr>
      <w:pStyle w:val="Footer"/>
      <w:rPr>
        <w:color w:val="808080" w:themeColor="background1" w:themeShade="80"/>
        <w:sz w:val="18"/>
        <w:szCs w:val="18"/>
      </w:rPr>
    </w:pPr>
    <w:r w:rsidRPr="00F01BA3">
      <w:rPr>
        <w:color w:val="808080" w:themeColor="background1" w:themeShade="80"/>
        <w:sz w:val="18"/>
        <w:szCs w:val="18"/>
      </w:rPr>
      <w:t xml:space="preserve">Version </w:t>
    </w:r>
    <w:r w:rsidR="003E040A">
      <w:rPr>
        <w:color w:val="808080" w:themeColor="background1" w:themeShade="80"/>
        <w:sz w:val="18"/>
        <w:szCs w:val="18"/>
      </w:rPr>
      <w:t>08</w:t>
    </w:r>
    <w:r w:rsidR="00043189">
      <w:rPr>
        <w:color w:val="808080" w:themeColor="background1" w:themeShade="80"/>
        <w:sz w:val="18"/>
        <w:szCs w:val="18"/>
      </w:rPr>
      <w:t xml:space="preserve"> A</w:t>
    </w:r>
    <w:r w:rsidR="003E040A">
      <w:rPr>
        <w:color w:val="808080" w:themeColor="background1" w:themeShade="80"/>
        <w:sz w:val="18"/>
        <w:szCs w:val="18"/>
      </w:rPr>
      <w:t>ugust</w:t>
    </w:r>
    <w:r w:rsidR="00043189">
      <w:rPr>
        <w:color w:val="808080" w:themeColor="background1" w:themeShade="80"/>
        <w:sz w:val="18"/>
        <w:szCs w:val="18"/>
      </w:rPr>
      <w:t xml:space="preserve"> 201</w:t>
    </w:r>
    <w:r w:rsidR="003E040A">
      <w:rPr>
        <w:color w:val="808080" w:themeColor="background1" w:themeShade="80"/>
        <w:sz w:val="18"/>
        <w:szCs w:val="18"/>
      </w:rPr>
      <w:t>8</w:t>
    </w:r>
  </w:p>
  <w:p w:rsidR="00F01BA3" w:rsidRDefault="00F0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C5" w:rsidRDefault="005C45C5" w:rsidP="001A77FA">
      <w:pPr>
        <w:spacing w:after="0" w:line="240" w:lineRule="auto"/>
      </w:pPr>
      <w:r>
        <w:separator/>
      </w:r>
    </w:p>
  </w:footnote>
  <w:footnote w:type="continuationSeparator" w:id="0">
    <w:p w:rsidR="005C45C5" w:rsidRDefault="005C45C5" w:rsidP="001A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1D1B"/>
    <w:multiLevelType w:val="hybridMultilevel"/>
    <w:tmpl w:val="AD1CA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7610F"/>
    <w:multiLevelType w:val="hybridMultilevel"/>
    <w:tmpl w:val="86528CF0"/>
    <w:lvl w:ilvl="0" w:tplc="4E625684">
      <w:start w:val="1"/>
      <w:numFmt w:val="bullet"/>
      <w:lvlText w:val=""/>
      <w:lvlJc w:val="left"/>
      <w:pPr>
        <w:ind w:left="720" w:hanging="360"/>
      </w:pPr>
      <w:rPr>
        <w:rFonts w:ascii="Symbol" w:hAnsi="Symbol" w:hint="default"/>
        <w:color w:val="0F243E" w:themeColor="text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F0D7B"/>
    <w:multiLevelType w:val="multilevel"/>
    <w:tmpl w:val="B756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620071"/>
    <w:multiLevelType w:val="hybridMultilevel"/>
    <w:tmpl w:val="315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30EB1"/>
    <w:multiLevelType w:val="multilevel"/>
    <w:tmpl w:val="970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86FEA"/>
    <w:multiLevelType w:val="multilevel"/>
    <w:tmpl w:val="68D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EB"/>
    <w:rsid w:val="0001620F"/>
    <w:rsid w:val="00043189"/>
    <w:rsid w:val="00097DDE"/>
    <w:rsid w:val="000C299C"/>
    <w:rsid w:val="000E0BE4"/>
    <w:rsid w:val="001A77FA"/>
    <w:rsid w:val="001E7BA4"/>
    <w:rsid w:val="00234EA3"/>
    <w:rsid w:val="00244932"/>
    <w:rsid w:val="002469B2"/>
    <w:rsid w:val="00297A54"/>
    <w:rsid w:val="002A3D2A"/>
    <w:rsid w:val="002B6937"/>
    <w:rsid w:val="002D28AC"/>
    <w:rsid w:val="002E5A59"/>
    <w:rsid w:val="00301F06"/>
    <w:rsid w:val="0039392A"/>
    <w:rsid w:val="003A07A2"/>
    <w:rsid w:val="003B6263"/>
    <w:rsid w:val="003D407B"/>
    <w:rsid w:val="003E040A"/>
    <w:rsid w:val="0048245D"/>
    <w:rsid w:val="004C5CB8"/>
    <w:rsid w:val="005052ED"/>
    <w:rsid w:val="00533C0E"/>
    <w:rsid w:val="005A0030"/>
    <w:rsid w:val="005C45C5"/>
    <w:rsid w:val="005D3B3A"/>
    <w:rsid w:val="006454CE"/>
    <w:rsid w:val="006B209B"/>
    <w:rsid w:val="006C2A52"/>
    <w:rsid w:val="00754453"/>
    <w:rsid w:val="00772476"/>
    <w:rsid w:val="00797933"/>
    <w:rsid w:val="008254D7"/>
    <w:rsid w:val="008B2B2D"/>
    <w:rsid w:val="008F25B7"/>
    <w:rsid w:val="00936595"/>
    <w:rsid w:val="00956D60"/>
    <w:rsid w:val="00975CB1"/>
    <w:rsid w:val="00A07F5E"/>
    <w:rsid w:val="00A757F7"/>
    <w:rsid w:val="00A8661E"/>
    <w:rsid w:val="00AC4B3A"/>
    <w:rsid w:val="00B8740B"/>
    <w:rsid w:val="00BA22D5"/>
    <w:rsid w:val="00BB2CFE"/>
    <w:rsid w:val="00C056AD"/>
    <w:rsid w:val="00C06990"/>
    <w:rsid w:val="00C16551"/>
    <w:rsid w:val="00C94A38"/>
    <w:rsid w:val="00CC33E9"/>
    <w:rsid w:val="00D13012"/>
    <w:rsid w:val="00E41453"/>
    <w:rsid w:val="00E9691F"/>
    <w:rsid w:val="00EB59EB"/>
    <w:rsid w:val="00EC2131"/>
    <w:rsid w:val="00ED0862"/>
    <w:rsid w:val="00EE67E8"/>
    <w:rsid w:val="00F01BA3"/>
    <w:rsid w:val="00F115F8"/>
    <w:rsid w:val="00F737D5"/>
    <w:rsid w:val="00F856CC"/>
    <w:rsid w:val="00F92178"/>
    <w:rsid w:val="00FB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7EB99-06EE-4C18-BFAC-4E61E6A7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EB"/>
    <w:rPr>
      <w:strike w:val="0"/>
      <w:dstrike w:val="0"/>
      <w:color w:val="A62A2A"/>
      <w:u w:val="none"/>
      <w:effect w:val="none"/>
      <w:shd w:val="clear" w:color="auto" w:fill="auto"/>
    </w:rPr>
  </w:style>
  <w:style w:type="character" w:styleId="Emphasis">
    <w:name w:val="Emphasis"/>
    <w:basedOn w:val="DefaultParagraphFont"/>
    <w:uiPriority w:val="20"/>
    <w:qFormat/>
    <w:rsid w:val="00EB59EB"/>
    <w:rPr>
      <w:i/>
      <w:iCs/>
    </w:rPr>
  </w:style>
  <w:style w:type="paragraph" w:styleId="Header">
    <w:name w:val="header"/>
    <w:basedOn w:val="Normal"/>
    <w:link w:val="HeaderChar"/>
    <w:uiPriority w:val="99"/>
    <w:unhideWhenUsed/>
    <w:rsid w:val="001A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FA"/>
  </w:style>
  <w:style w:type="paragraph" w:styleId="Footer">
    <w:name w:val="footer"/>
    <w:basedOn w:val="Normal"/>
    <w:link w:val="FooterChar"/>
    <w:uiPriority w:val="99"/>
    <w:unhideWhenUsed/>
    <w:rsid w:val="001A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FA"/>
  </w:style>
  <w:style w:type="character" w:styleId="CommentReference">
    <w:name w:val="annotation reference"/>
    <w:basedOn w:val="DefaultParagraphFont"/>
    <w:uiPriority w:val="99"/>
    <w:semiHidden/>
    <w:unhideWhenUsed/>
    <w:rsid w:val="00301F06"/>
    <w:rPr>
      <w:sz w:val="16"/>
      <w:szCs w:val="16"/>
    </w:rPr>
  </w:style>
  <w:style w:type="paragraph" w:styleId="CommentText">
    <w:name w:val="annotation text"/>
    <w:basedOn w:val="Normal"/>
    <w:link w:val="CommentTextChar"/>
    <w:uiPriority w:val="99"/>
    <w:semiHidden/>
    <w:unhideWhenUsed/>
    <w:rsid w:val="00301F06"/>
    <w:pPr>
      <w:spacing w:line="240" w:lineRule="auto"/>
    </w:pPr>
    <w:rPr>
      <w:sz w:val="20"/>
      <w:szCs w:val="20"/>
    </w:rPr>
  </w:style>
  <w:style w:type="character" w:customStyle="1" w:styleId="CommentTextChar">
    <w:name w:val="Comment Text Char"/>
    <w:basedOn w:val="DefaultParagraphFont"/>
    <w:link w:val="CommentText"/>
    <w:uiPriority w:val="99"/>
    <w:semiHidden/>
    <w:rsid w:val="00301F06"/>
    <w:rPr>
      <w:sz w:val="20"/>
      <w:szCs w:val="20"/>
    </w:rPr>
  </w:style>
  <w:style w:type="paragraph" w:styleId="CommentSubject">
    <w:name w:val="annotation subject"/>
    <w:basedOn w:val="CommentText"/>
    <w:next w:val="CommentText"/>
    <w:link w:val="CommentSubjectChar"/>
    <w:uiPriority w:val="99"/>
    <w:semiHidden/>
    <w:unhideWhenUsed/>
    <w:rsid w:val="00301F06"/>
    <w:rPr>
      <w:b/>
      <w:bCs/>
    </w:rPr>
  </w:style>
  <w:style w:type="character" w:customStyle="1" w:styleId="CommentSubjectChar">
    <w:name w:val="Comment Subject Char"/>
    <w:basedOn w:val="CommentTextChar"/>
    <w:link w:val="CommentSubject"/>
    <w:uiPriority w:val="99"/>
    <w:semiHidden/>
    <w:rsid w:val="00301F06"/>
    <w:rPr>
      <w:b/>
      <w:bCs/>
      <w:sz w:val="20"/>
      <w:szCs w:val="20"/>
    </w:rPr>
  </w:style>
  <w:style w:type="paragraph" w:styleId="BalloonText">
    <w:name w:val="Balloon Text"/>
    <w:basedOn w:val="Normal"/>
    <w:link w:val="BalloonTextChar"/>
    <w:uiPriority w:val="99"/>
    <w:semiHidden/>
    <w:unhideWhenUsed/>
    <w:rsid w:val="003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06"/>
    <w:rPr>
      <w:rFonts w:ascii="Tahoma" w:hAnsi="Tahoma" w:cs="Tahoma"/>
      <w:sz w:val="16"/>
      <w:szCs w:val="16"/>
    </w:rPr>
  </w:style>
  <w:style w:type="paragraph" w:styleId="Revision">
    <w:name w:val="Revision"/>
    <w:hidden/>
    <w:uiPriority w:val="99"/>
    <w:semiHidden/>
    <w:rsid w:val="00C94A38"/>
    <w:pPr>
      <w:spacing w:after="0" w:line="240" w:lineRule="auto"/>
    </w:pPr>
  </w:style>
  <w:style w:type="table" w:styleId="TableGrid">
    <w:name w:val="Table Grid"/>
    <w:basedOn w:val="TableNormal"/>
    <w:uiPriority w:val="59"/>
    <w:rsid w:val="000431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189"/>
    <w:pPr>
      <w:ind w:left="720"/>
      <w:contextualSpacing/>
    </w:pPr>
  </w:style>
  <w:style w:type="paragraph" w:customStyle="1" w:styleId="Default">
    <w:name w:val="Default"/>
    <w:rsid w:val="00043189"/>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97DDE"/>
    <w:rPr>
      <w:color w:val="800080" w:themeColor="followedHyperlink"/>
      <w:u w:val="single"/>
    </w:rPr>
  </w:style>
  <w:style w:type="paragraph" w:styleId="NoSpacing">
    <w:name w:val="No Spacing"/>
    <w:uiPriority w:val="1"/>
    <w:qFormat/>
    <w:rsid w:val="003D4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4459">
      <w:bodyDiv w:val="1"/>
      <w:marLeft w:val="0"/>
      <w:marRight w:val="0"/>
      <w:marTop w:val="0"/>
      <w:marBottom w:val="0"/>
      <w:divBdr>
        <w:top w:val="none" w:sz="0" w:space="0" w:color="auto"/>
        <w:left w:val="none" w:sz="0" w:space="0" w:color="auto"/>
        <w:bottom w:val="none" w:sz="0" w:space="0" w:color="auto"/>
        <w:right w:val="none" w:sz="0" w:space="0" w:color="auto"/>
      </w:divBdr>
      <w:divsChild>
        <w:div w:id="150565873">
          <w:marLeft w:val="0"/>
          <w:marRight w:val="0"/>
          <w:marTop w:val="0"/>
          <w:marBottom w:val="0"/>
          <w:divBdr>
            <w:top w:val="none" w:sz="0" w:space="0" w:color="auto"/>
            <w:left w:val="none" w:sz="0" w:space="0" w:color="auto"/>
            <w:bottom w:val="none" w:sz="0" w:space="0" w:color="auto"/>
            <w:right w:val="none" w:sz="0" w:space="0" w:color="auto"/>
          </w:divBdr>
          <w:divsChild>
            <w:div w:id="1864977767">
              <w:marLeft w:val="0"/>
              <w:marRight w:val="0"/>
              <w:marTop w:val="0"/>
              <w:marBottom w:val="0"/>
              <w:divBdr>
                <w:top w:val="none" w:sz="0" w:space="0" w:color="auto"/>
                <w:left w:val="none" w:sz="0" w:space="0" w:color="auto"/>
                <w:bottom w:val="none" w:sz="0" w:space="0" w:color="auto"/>
                <w:right w:val="none" w:sz="0" w:space="0" w:color="auto"/>
              </w:divBdr>
              <w:divsChild>
                <w:div w:id="757022787">
                  <w:marLeft w:val="-180"/>
                  <w:marRight w:val="-180"/>
                  <w:marTop w:val="0"/>
                  <w:marBottom w:val="0"/>
                  <w:divBdr>
                    <w:top w:val="none" w:sz="0" w:space="0" w:color="auto"/>
                    <w:left w:val="none" w:sz="0" w:space="0" w:color="auto"/>
                    <w:bottom w:val="none" w:sz="0" w:space="0" w:color="auto"/>
                    <w:right w:val="none" w:sz="0" w:space="0" w:color="auto"/>
                  </w:divBdr>
                  <w:divsChild>
                    <w:div w:id="246425811">
                      <w:marLeft w:val="0"/>
                      <w:marRight w:val="0"/>
                      <w:marTop w:val="0"/>
                      <w:marBottom w:val="0"/>
                      <w:divBdr>
                        <w:top w:val="none" w:sz="0" w:space="0" w:color="auto"/>
                        <w:left w:val="none" w:sz="0" w:space="0" w:color="auto"/>
                        <w:bottom w:val="none" w:sz="0" w:space="0" w:color="auto"/>
                        <w:right w:val="none" w:sz="0" w:space="0" w:color="auto"/>
                      </w:divBdr>
                      <w:divsChild>
                        <w:div w:id="931283432">
                          <w:marLeft w:val="0"/>
                          <w:marRight w:val="0"/>
                          <w:marTop w:val="0"/>
                          <w:marBottom w:val="0"/>
                          <w:divBdr>
                            <w:top w:val="none" w:sz="0" w:space="0" w:color="auto"/>
                            <w:left w:val="none" w:sz="0" w:space="0" w:color="auto"/>
                            <w:bottom w:val="none" w:sz="0" w:space="0" w:color="auto"/>
                            <w:right w:val="none" w:sz="0" w:space="0" w:color="auto"/>
                          </w:divBdr>
                          <w:divsChild>
                            <w:div w:id="1381635996">
                              <w:marLeft w:val="0"/>
                              <w:marRight w:val="0"/>
                              <w:marTop w:val="0"/>
                              <w:marBottom w:val="0"/>
                              <w:divBdr>
                                <w:top w:val="none" w:sz="0" w:space="0" w:color="auto"/>
                                <w:left w:val="none" w:sz="0" w:space="0" w:color="auto"/>
                                <w:bottom w:val="none" w:sz="0" w:space="0" w:color="auto"/>
                                <w:right w:val="none" w:sz="0" w:space="0" w:color="auto"/>
                              </w:divBdr>
                              <w:divsChild>
                                <w:div w:id="353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21304">
      <w:bodyDiv w:val="1"/>
      <w:marLeft w:val="0"/>
      <w:marRight w:val="0"/>
      <w:marTop w:val="0"/>
      <w:marBottom w:val="0"/>
      <w:divBdr>
        <w:top w:val="none" w:sz="0" w:space="0" w:color="auto"/>
        <w:left w:val="none" w:sz="0" w:space="0" w:color="auto"/>
        <w:bottom w:val="none" w:sz="0" w:space="0" w:color="auto"/>
        <w:right w:val="none" w:sz="0" w:space="0" w:color="auto"/>
      </w:divBdr>
    </w:div>
    <w:div w:id="823350098">
      <w:bodyDiv w:val="1"/>
      <w:marLeft w:val="0"/>
      <w:marRight w:val="0"/>
      <w:marTop w:val="0"/>
      <w:marBottom w:val="0"/>
      <w:divBdr>
        <w:top w:val="none" w:sz="0" w:space="0" w:color="auto"/>
        <w:left w:val="none" w:sz="0" w:space="0" w:color="auto"/>
        <w:bottom w:val="none" w:sz="0" w:space="0" w:color="auto"/>
        <w:right w:val="none" w:sz="0" w:space="0" w:color="auto"/>
      </w:divBdr>
      <w:divsChild>
        <w:div w:id="441804768">
          <w:marLeft w:val="0"/>
          <w:marRight w:val="0"/>
          <w:marTop w:val="0"/>
          <w:marBottom w:val="0"/>
          <w:divBdr>
            <w:top w:val="none" w:sz="0" w:space="0" w:color="auto"/>
            <w:left w:val="none" w:sz="0" w:space="0" w:color="auto"/>
            <w:bottom w:val="none" w:sz="0" w:space="0" w:color="auto"/>
            <w:right w:val="none" w:sz="0" w:space="0" w:color="auto"/>
          </w:divBdr>
          <w:divsChild>
            <w:div w:id="1003050024">
              <w:marLeft w:val="0"/>
              <w:marRight w:val="0"/>
              <w:marTop w:val="0"/>
              <w:marBottom w:val="0"/>
              <w:divBdr>
                <w:top w:val="none" w:sz="0" w:space="0" w:color="auto"/>
                <w:left w:val="none" w:sz="0" w:space="0" w:color="auto"/>
                <w:bottom w:val="none" w:sz="0" w:space="0" w:color="auto"/>
                <w:right w:val="none" w:sz="0" w:space="0" w:color="auto"/>
              </w:divBdr>
              <w:divsChild>
                <w:div w:id="1173762386">
                  <w:marLeft w:val="-180"/>
                  <w:marRight w:val="-180"/>
                  <w:marTop w:val="0"/>
                  <w:marBottom w:val="0"/>
                  <w:divBdr>
                    <w:top w:val="none" w:sz="0" w:space="0" w:color="auto"/>
                    <w:left w:val="none" w:sz="0" w:space="0" w:color="auto"/>
                    <w:bottom w:val="none" w:sz="0" w:space="0" w:color="auto"/>
                    <w:right w:val="none" w:sz="0" w:space="0" w:color="auto"/>
                  </w:divBdr>
                  <w:divsChild>
                    <w:div w:id="303387969">
                      <w:marLeft w:val="0"/>
                      <w:marRight w:val="0"/>
                      <w:marTop w:val="0"/>
                      <w:marBottom w:val="0"/>
                      <w:divBdr>
                        <w:top w:val="none" w:sz="0" w:space="0" w:color="auto"/>
                        <w:left w:val="none" w:sz="0" w:space="0" w:color="auto"/>
                        <w:bottom w:val="none" w:sz="0" w:space="0" w:color="auto"/>
                        <w:right w:val="none" w:sz="0" w:space="0" w:color="auto"/>
                      </w:divBdr>
                      <w:divsChild>
                        <w:div w:id="168060735">
                          <w:marLeft w:val="0"/>
                          <w:marRight w:val="0"/>
                          <w:marTop w:val="0"/>
                          <w:marBottom w:val="0"/>
                          <w:divBdr>
                            <w:top w:val="none" w:sz="0" w:space="0" w:color="auto"/>
                            <w:left w:val="none" w:sz="0" w:space="0" w:color="auto"/>
                            <w:bottom w:val="none" w:sz="0" w:space="0" w:color="auto"/>
                            <w:right w:val="none" w:sz="0" w:space="0" w:color="auto"/>
                          </w:divBdr>
                          <w:divsChild>
                            <w:div w:id="126513023">
                              <w:marLeft w:val="0"/>
                              <w:marRight w:val="0"/>
                              <w:marTop w:val="0"/>
                              <w:marBottom w:val="0"/>
                              <w:divBdr>
                                <w:top w:val="none" w:sz="0" w:space="0" w:color="auto"/>
                                <w:left w:val="none" w:sz="0" w:space="0" w:color="auto"/>
                                <w:bottom w:val="none" w:sz="0" w:space="0" w:color="auto"/>
                                <w:right w:val="none" w:sz="0" w:space="0" w:color="auto"/>
                              </w:divBdr>
                              <w:divsChild>
                                <w:div w:id="1443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rb.tuftsmedicalcenter.org/IRB/sd/Doc/0/UU2F5IMMHD847BK3RUV875SC35/Investigator-Sponsor%20Checklis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downloads/aboutfda/reportsmanualsforms/forms/ucm074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6E09-9436-4F52-9B74-5362B3A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Choy, Christine M</cp:lastModifiedBy>
  <cp:revision>3</cp:revision>
  <cp:lastPrinted>2015-07-09T13:59:00Z</cp:lastPrinted>
  <dcterms:created xsi:type="dcterms:W3CDTF">2018-09-20T13:20:00Z</dcterms:created>
  <dcterms:modified xsi:type="dcterms:W3CDTF">2020-04-17T18:23:00Z</dcterms:modified>
</cp:coreProperties>
</file>